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64F8" w14:textId="77777777" w:rsidR="00E16A7A" w:rsidRDefault="00D87926">
      <w:pPr>
        <w:spacing w:after="4814" w:line="265" w:lineRule="auto"/>
        <w:ind w:left="730"/>
      </w:pPr>
      <w:r>
        <w:rPr>
          <w:color w:val="000000"/>
        </w:rPr>
        <w:t>1</w:t>
      </w:r>
    </w:p>
    <w:p w14:paraId="4C16A77F" w14:textId="18E6848D" w:rsidR="00852F6E" w:rsidRDefault="00852F6E" w:rsidP="00852F6E">
      <w:pPr>
        <w:spacing w:after="236" w:line="259" w:lineRule="auto"/>
        <w:ind w:left="10" w:right="3742"/>
        <w:jc w:val="center"/>
      </w:pPr>
    </w:p>
    <w:p w14:paraId="4CB7C926" w14:textId="39C81692" w:rsidR="00E16A7A" w:rsidRDefault="00D87926" w:rsidP="00852F6E">
      <w:pPr>
        <w:spacing w:after="236" w:line="259" w:lineRule="auto"/>
        <w:ind w:left="10" w:right="3742"/>
        <w:jc w:val="center"/>
      </w:pPr>
      <w:r>
        <w:br w:type="page"/>
      </w:r>
    </w:p>
    <w:p w14:paraId="41AC8960" w14:textId="77777777" w:rsidR="00E16A7A" w:rsidRDefault="00D87926">
      <w:pPr>
        <w:spacing w:after="236" w:line="259" w:lineRule="auto"/>
        <w:ind w:left="-5"/>
      </w:pPr>
      <w:r>
        <w:rPr>
          <w:b/>
          <w:u w:val="single" w:color="333333"/>
        </w:rPr>
        <w:lastRenderedPageBreak/>
        <w:t>B. Needs Assessment</w:t>
      </w:r>
      <w:r>
        <w:rPr>
          <w:b/>
          <w:shd w:val="clear" w:color="auto" w:fill="FFFFFF"/>
        </w:rPr>
        <w:t xml:space="preserve">: </w:t>
      </w:r>
    </w:p>
    <w:p w14:paraId="131F0829" w14:textId="77777777" w:rsidR="00E16A7A" w:rsidRDefault="00D87926">
      <w:pPr>
        <w:pStyle w:val="Heading1"/>
        <w:ind w:left="-5"/>
      </w:pPr>
      <w:r>
        <w:t xml:space="preserve">Demographics </w:t>
      </w:r>
    </w:p>
    <w:p w14:paraId="2888D008" w14:textId="77777777" w:rsidR="00E16A7A" w:rsidRDefault="00D87926">
      <w:pPr>
        <w:ind w:left="-5"/>
      </w:pPr>
      <w:r>
        <w:t xml:space="preserve">The population in Sentinel City is made up of 663,862 people (Sentinel City, 2020).  Of those people, 10.5% are 65 years-old or older, 21.7% are 18 years-old, and 7.4% are under 5 years-old </w:t>
      </w:r>
    </w:p>
    <w:p w14:paraId="23A19328" w14:textId="77777777" w:rsidR="00E16A7A" w:rsidRDefault="00D87926">
      <w:pPr>
        <w:ind w:left="-5"/>
      </w:pPr>
      <w:r>
        <w:t>(Healthcare Learning Innovation, 2020).  Most of the people livin</w:t>
      </w:r>
      <w:r>
        <w:t>g in Sentinel City are either Caucasian (white) or Hispanic or Latino.  The Caucasian population is 52.7%, the Hispanic population is 31.5%, the African American (Black) population is 10.4%, the American Indian and Alaskan Native population is 2%, the Asia</w:t>
      </w:r>
      <w:r>
        <w:t xml:space="preserve">n population is 3.7% and the Native Hawaiian and Pacific Islander population is 0.2% (Healthcare Learning Innovation, 2020).  The median annual household income of Sentinel City is approximately $49,091 (Healthcare Learning Innovation, 2020).  Considering </w:t>
      </w:r>
      <w:r>
        <w:t xml:space="preserve">the median household income, it’s not surprising that the percentage of people living below poverty level are 18.9% (Healthcare Learning Innovation, 2020).  Sentinel </w:t>
      </w:r>
    </w:p>
    <w:p w14:paraId="08972D9E" w14:textId="77777777" w:rsidR="00E16A7A" w:rsidRDefault="00D87926">
      <w:pPr>
        <w:ind w:left="-5"/>
      </w:pPr>
      <w:r>
        <w:t xml:space="preserve">City is made up of four different neighborhoods.  The four neighborhoods are:  Acer Tech </w:t>
      </w:r>
      <w:r>
        <w:t xml:space="preserve">Center, Nightingale Square, Industrial Heights and Casper Park District.  Nightingale Square has a median household income of $269,550 and the percentage of non-insured is 0.7% of a population of 103,974 people (Healthcare Learning Innovation, 2020).  The </w:t>
      </w:r>
      <w:r>
        <w:t>Acer Tech Center neighborhood population has a median annual household income of $166,300 and the percentage of noninsured is 1.5% of a population of 168,390 (Healthcare Learning Innovation, 2020).  Casper Park District is the largest of the four neighborh</w:t>
      </w:r>
      <w:r>
        <w:t xml:space="preserve">oods population wise with 352,643 people; their median household income is $80,134 and the percentage of non-insured is 22.7% (Sentinel City, 2020).  The last neighborhood is Industrial Heights and their population is 38,855 people with a median household </w:t>
      </w:r>
      <w:r>
        <w:t xml:space="preserve">income of $24,672 and the percentage of non-insured is 37.5% (Healthcare </w:t>
      </w:r>
    </w:p>
    <w:p w14:paraId="2ABDAFD6" w14:textId="77777777" w:rsidR="00E16A7A" w:rsidRDefault="00D87926">
      <w:pPr>
        <w:spacing w:line="259" w:lineRule="auto"/>
        <w:ind w:left="-5"/>
      </w:pPr>
      <w:r>
        <w:lastRenderedPageBreak/>
        <w:t>Learning Innovation, 2020).</w:t>
      </w:r>
    </w:p>
    <w:p w14:paraId="4A0F6960" w14:textId="77777777" w:rsidR="00E16A7A" w:rsidRDefault="00D87926">
      <w:pPr>
        <w:pStyle w:val="Heading1"/>
        <w:ind w:left="-5"/>
      </w:pPr>
      <w:r>
        <w:t>Neighborhood Safety Assessment</w:t>
      </w:r>
    </w:p>
    <w:p w14:paraId="4C4A7066" w14:textId="77777777" w:rsidR="00E16A7A" w:rsidRDefault="00D87926">
      <w:pPr>
        <w:ind w:left="-5"/>
      </w:pPr>
      <w:r>
        <w:t>The Industrial Heights neighborhood poses the most safety concerns out of all the neighborhoods.  While “driving” around th</w:t>
      </w:r>
      <w:r>
        <w:t>e Industrial Heights neighborhood, large amounts of graffiti and trash can be seen.  There are also stray dogs roaming around and boarded up buildings.  There are also quite a few homeless people walking around the streets.  The total amount of homeless pe</w:t>
      </w:r>
      <w:r>
        <w:t>ople in Sentinel City is 5,775, with the majority of those people coming from the Industrial Heights neighborhood (Healthcare Learning Innovation, 2020).  According to the data collection listed by the Police Department, Sentinel City has gang-related crim</w:t>
      </w:r>
      <w:r>
        <w:t>es.  The crimes have been increasing over the last five years and the type of gang-related crimes documented are aggravated assault, simple assault, homicide and robbery (Healthcare Learning Innovation, 2020).  The total amount of violent crimes reported l</w:t>
      </w:r>
      <w:r>
        <w:t xml:space="preserve">ast year were 2,122; the reported violent crimes were aggravated assault, rape, murder and robbery (Healthcare Learning Innovation, 2020).  According to the healthcare pharmacy reports for Sentinel City, the drugs reported being used by the population are </w:t>
      </w:r>
      <w:r>
        <w:t xml:space="preserve">marijuana at 12%, cocaine at 5%, heroin at 7%, methamphetamines at 10%, prescription drug abuse at 18%, tobacco at 24% and alcohol at 36% (Healthcare Learning Innovation, 2020).  EMS response times are documented as approximately </w:t>
      </w:r>
    </w:p>
    <w:p w14:paraId="5EC6E1CE" w14:textId="77777777" w:rsidR="00E16A7A" w:rsidRDefault="00D87926">
      <w:pPr>
        <w:spacing w:after="236" w:line="259" w:lineRule="auto"/>
        <w:ind w:left="-5"/>
      </w:pPr>
      <w:r>
        <w:t xml:space="preserve">7.46 minutes in Sentinel </w:t>
      </w:r>
      <w:r>
        <w:t>City (Healthcare Learning Innovation, 2020).</w:t>
      </w:r>
    </w:p>
    <w:p w14:paraId="0ED17321" w14:textId="77777777" w:rsidR="00E16A7A" w:rsidRDefault="00D87926">
      <w:pPr>
        <w:pStyle w:val="Heading1"/>
        <w:ind w:left="-5"/>
      </w:pPr>
      <w:r>
        <w:t>Scavenger Hunt</w:t>
      </w:r>
    </w:p>
    <w:p w14:paraId="143A83EB" w14:textId="77777777" w:rsidR="00E16A7A" w:rsidRDefault="00D87926">
      <w:pPr>
        <w:ind w:left="-5"/>
      </w:pPr>
      <w:r>
        <w:t xml:space="preserve">The Parks and Recreation department in Sentinel City offers educational programs for adults and children.  City sports leagues, swimming lessons, gardening courses, kids summer programs and after </w:t>
      </w:r>
      <w:r>
        <w:t>school programs, adult fitness classes and nutrition courses are some of the many programs available.  According to the Parks and Recreation budget, approximately 50% of the budget is spent on park maintenance, 10% for park improvements, 15% for the progra</w:t>
      </w:r>
      <w:r>
        <w:t xml:space="preserve">ms </w:t>
      </w:r>
      <w:r>
        <w:lastRenderedPageBreak/>
        <w:t>offered, 20% for personnel and administration and about 5% toward other costs (Healthcare Learning Innovation, 2020).  The most common park related complaints are crime, locations, drugs, stray animals, homeless population, and park cleanliness.  The ho</w:t>
      </w:r>
      <w:r>
        <w:t>meless population in the park accounts for approximately 35% of the park complaints within the last year (Healthcare Learning Innovation, 2020).  The most common citations issued in the park are trespassing after hours (31%), intoxication or public drug us</w:t>
      </w:r>
      <w:r>
        <w:t>e (16%), loitering (11%), violent crimes (24%), prostitution (9%), selling without a permit (6%), and other crimes (3%) (Healthcare Learning Innovation, 2020). The healthcare system-elderly services in Sentinel City lists senior living options and other se</w:t>
      </w:r>
      <w:r>
        <w:t>rvices available to the elderly population in the city.  Sentinel City offers many options for living arrangements for the elderly; there are nursing homes (2874 units), assisted living facilities (248 units), independent senior apartments (1048 units), se</w:t>
      </w:r>
      <w:r>
        <w:t>nior living centers (3472 units), skilled nursing care (64 beds), long-term care (36 beds) and swing beds (24) (Healthcare Learning Innovation, 2020).  The services available to seniors in the city are transportation, medical care advocates, elder abuse pr</w:t>
      </w:r>
      <w:r>
        <w:t>evention advocates, service animals, meals on wheels, community centers, and government entitlement assistance.  The percentage of seniors using the services provided are low with the most used service being the medical care advocates at 8.3% of the elderl</w:t>
      </w:r>
      <w:r>
        <w:t xml:space="preserve">y population (Healthcare Learning Innovation, 2020).  </w:t>
      </w:r>
    </w:p>
    <w:p w14:paraId="23E39A6D" w14:textId="77777777" w:rsidR="00E16A7A" w:rsidRDefault="00D87926">
      <w:pPr>
        <w:ind w:left="-5"/>
      </w:pPr>
      <w:r>
        <w:t>Sentinel City’s social services department offers services for children and adults.  There are 425 programs offering adoption assistance, 105 head start and early head start programs, 95 youth independ</w:t>
      </w:r>
      <w:r>
        <w:t xml:space="preserve">ent living services, 30 child care providers that accept subsidy benefits and 30 </w:t>
      </w:r>
      <w:proofErr w:type="gramStart"/>
      <w:r>
        <w:t>stay</w:t>
      </w:r>
      <w:proofErr w:type="gramEnd"/>
      <w:r>
        <w:t xml:space="preserve"> at home programs (Healthcare Learning Innovation, 2020).  The Social Services department offers </w:t>
      </w:r>
    </w:p>
    <w:p w14:paraId="6DA80915" w14:textId="77777777" w:rsidR="00E16A7A" w:rsidRDefault="00D87926">
      <w:pPr>
        <w:spacing w:after="0"/>
        <w:ind w:left="0" w:firstLine="0"/>
        <w:jc w:val="both"/>
      </w:pPr>
      <w:r>
        <w:lastRenderedPageBreak/>
        <w:t>WIC and SNAP benefits. In the last year, there have been 69 infants and children documented as being on WIC assistance program; there were also 9 pregnant women, 11 breastfeeding women, and 7 postpartum women documented as receiving those benefits (Healthc</w:t>
      </w:r>
      <w:r>
        <w:t>are Learning Innovation, 2020).  In the last year, there have been 24,359 recipients with low-income, 15,320 recipients in training programs, 17,359 recipients who are disabled, and 9,953 recipients who are considered elderly (Healthcare Learning Innovatio</w:t>
      </w:r>
      <w:r>
        <w:t>n, 2020).  According to the data table for healthcare assistance utilization, approximately 105,000 people within Sentinel City utilize Medicare and approximately 21,000 utilize Medicare for insurance (Healthcare Learning Innovation, 2020).  The data table</w:t>
      </w:r>
      <w:r>
        <w:t xml:space="preserve"> also shows that approximately 39,000 people receive their insurance from the Affordable Care Act (ACA) and approximately 4,200 people receive charitable healthcare (Healthcare Learning Innovation, 2020).  </w:t>
      </w:r>
    </w:p>
    <w:p w14:paraId="62716163" w14:textId="77777777" w:rsidR="00E16A7A" w:rsidRDefault="00D87926">
      <w:pPr>
        <w:ind w:left="-5"/>
      </w:pPr>
      <w:r>
        <w:t>Sentinel City’s Better Health Clinic provides man</w:t>
      </w:r>
      <w:r>
        <w:t>y women’s health services to the community.  Some of the services provided by the clinic are STD/STI services, contraceptive services, preconception health, pregnancy testing and counseling, basic infertility services, breast cancer screenings, cervical ca</w:t>
      </w:r>
      <w:r>
        <w:t xml:space="preserve">ncer screenings, and other preventative health services (Healthcare Learning Innovation, 2020).  According to the data tables for the Better Health Clinic, the percentage of diagnosed STI types in the last year for the </w:t>
      </w:r>
      <w:proofErr w:type="gramStart"/>
      <w:r>
        <w:t>15-24 year old</w:t>
      </w:r>
      <w:proofErr w:type="gramEnd"/>
      <w:r>
        <w:t xml:space="preserve"> population was </w:t>
      </w:r>
    </w:p>
    <w:p w14:paraId="32B20F6C" w14:textId="77777777" w:rsidR="00E16A7A" w:rsidRDefault="00D87926">
      <w:pPr>
        <w:spacing w:after="236" w:line="259" w:lineRule="auto"/>
        <w:ind w:left="-5"/>
      </w:pPr>
      <w:r>
        <w:t>Hepati</w:t>
      </w:r>
      <w:r>
        <w:t xml:space="preserve">tis B at 8%, HIV at 20%, Syphilis at 23%, HSV-2 at 37%, Gonorrhea at 58%, </w:t>
      </w:r>
    </w:p>
    <w:p w14:paraId="740670C2" w14:textId="77777777" w:rsidR="00E16A7A" w:rsidRDefault="00D87926">
      <w:pPr>
        <w:spacing w:after="236" w:line="259" w:lineRule="auto"/>
        <w:ind w:left="-5"/>
      </w:pPr>
      <w:r>
        <w:t xml:space="preserve">Trichomoniasis at 41%, Chlamydia at 71%, and HPV at 49% (Healthcare Learning Innovation, </w:t>
      </w:r>
    </w:p>
    <w:p w14:paraId="3620AA1A" w14:textId="77777777" w:rsidR="00E16A7A" w:rsidRDefault="00D87926">
      <w:pPr>
        <w:spacing w:after="236" w:line="259" w:lineRule="auto"/>
        <w:ind w:left="-5"/>
      </w:pPr>
      <w:r>
        <w:t xml:space="preserve">2020).  There is also data listed for the same STIs for the 25 and older population, which </w:t>
      </w:r>
      <w:r>
        <w:t xml:space="preserve">is </w:t>
      </w:r>
    </w:p>
    <w:p w14:paraId="1E2A8961" w14:textId="77777777" w:rsidR="00E16A7A" w:rsidRDefault="00D87926">
      <w:pPr>
        <w:spacing w:after="236" w:line="259" w:lineRule="auto"/>
        <w:ind w:left="-5"/>
      </w:pPr>
      <w:r>
        <w:t xml:space="preserve">Hepatitis B at 92%, HIV at 80%, Syphilis at 77%, HSV-2 at 63%, Gonorrhea at 42%, </w:t>
      </w:r>
    </w:p>
    <w:p w14:paraId="60E51139" w14:textId="77777777" w:rsidR="00E16A7A" w:rsidRDefault="00D87926">
      <w:pPr>
        <w:spacing w:after="236"/>
        <w:ind w:left="-5"/>
      </w:pPr>
      <w:r>
        <w:t>Trichomoniasis at 59%, Chlamydia at 29%, and HPV at 51% (Healthcare Learning Innovation, 2020).  In Sentinel City, the teen pregnancy, birth and abortion rates are higher</w:t>
      </w:r>
      <w:r>
        <w:t xml:space="preserve"> last year than </w:t>
      </w:r>
      <w:r>
        <w:lastRenderedPageBreak/>
        <w:t xml:space="preserve">the previous year but are lower than previous years.  In the last year, there have been approximately 220 teen pregnancies, 20 abortions and approximately 200 births (Healthcare Learning </w:t>
      </w:r>
    </w:p>
    <w:p w14:paraId="4ED2A062" w14:textId="77777777" w:rsidR="00E16A7A" w:rsidRDefault="00D87926">
      <w:pPr>
        <w:spacing w:after="236" w:line="259" w:lineRule="auto"/>
        <w:ind w:left="-5"/>
      </w:pPr>
      <w:r>
        <w:t xml:space="preserve">Innovation, 2020).  </w:t>
      </w:r>
    </w:p>
    <w:p w14:paraId="015F9FEE" w14:textId="77777777" w:rsidR="00E16A7A" w:rsidRDefault="00D87926">
      <w:pPr>
        <w:ind w:left="-5"/>
      </w:pPr>
      <w:r>
        <w:t>The Soup Kitchen located at the</w:t>
      </w:r>
      <w:r>
        <w:t xml:space="preserve"> Interfaith Church in Sentinel City provides meals for many of the homeless population.  The Soup Kitchen approximately provides anywhere from 40,000 to 50,000 meals every month (Healthcare Learning Innovation, 2020).  The sources for supplemental nutritio</w:t>
      </w:r>
      <w:r>
        <w:t xml:space="preserve">n provided to the Soup Kitchen are the Commodity Supplemental Food </w:t>
      </w:r>
    </w:p>
    <w:p w14:paraId="4C871626" w14:textId="77777777" w:rsidR="00E16A7A" w:rsidRDefault="00D87926">
      <w:pPr>
        <w:ind w:left="-5"/>
      </w:pPr>
      <w:r>
        <w:t xml:space="preserve">Program, the Emergency Food Program, Food Assistance, and USDA Commodity Programs (Healthcare Learning Innovation, 2020).  </w:t>
      </w:r>
    </w:p>
    <w:p w14:paraId="75697B7B" w14:textId="77777777" w:rsidR="00E16A7A" w:rsidRDefault="00D87926">
      <w:pPr>
        <w:ind w:left="-5"/>
      </w:pPr>
      <w:r>
        <w:t>The Affordable Housing Project provides data on housing types, h</w:t>
      </w:r>
      <w:r>
        <w:t>ousing complaints, and average income by housing type.  The types of housing listed are studio units, 1-bedroom units, and 2-bedroom units.  According to the data table, 98% of the studio units, 95% of the 1bedroom units, and 90% of the 2-bedroom units are</w:t>
      </w:r>
      <w:r>
        <w:t xml:space="preserve"> occupied (Healthcare Learning Innovation, 2020).  Last year in Sentinel City, the average income of the studio units was $26,500, $31,000 for the 1-bedroom units, and $35,800 for the 2-bedroom units (Healthcare Learning Innovation, 2020).  The common tena</w:t>
      </w:r>
      <w:r>
        <w:t xml:space="preserve">nt complaints listed in the data table are pests/mold (18%), factory smoke (21%), police activity (6%), loitering (13%), high rent (10%), and noise (17%) </w:t>
      </w:r>
    </w:p>
    <w:p w14:paraId="6AB31485" w14:textId="77777777" w:rsidR="00E16A7A" w:rsidRDefault="00D87926">
      <w:pPr>
        <w:spacing w:after="236" w:line="259" w:lineRule="auto"/>
        <w:ind w:left="-5"/>
      </w:pPr>
      <w:r>
        <w:t>(Healthcare Learning Innovation, 2020).</w:t>
      </w:r>
    </w:p>
    <w:p w14:paraId="73270F73" w14:textId="77777777" w:rsidR="00E16A7A" w:rsidRDefault="00D87926">
      <w:pPr>
        <w:pStyle w:val="Heading1"/>
        <w:ind w:left="-5"/>
      </w:pPr>
      <w:r>
        <w:t>Windshield Survey</w:t>
      </w:r>
    </w:p>
    <w:p w14:paraId="3C88A683" w14:textId="77777777" w:rsidR="00E16A7A" w:rsidRDefault="00D87926">
      <w:pPr>
        <w:ind w:left="-5"/>
      </w:pPr>
      <w:r>
        <w:t>While “driving” through Sentinel City, it i</w:t>
      </w:r>
      <w:r>
        <w:t xml:space="preserve">s clear that city is an urban environment.  There are limited amounts of green spaces, lots of buildings and paved areas.  There is public </w:t>
      </w:r>
      <w:r>
        <w:lastRenderedPageBreak/>
        <w:t xml:space="preserve">transportation in the form of a bus route that is available throughout the city; people can also be seen walking and </w:t>
      </w:r>
      <w:r>
        <w:t>biking to and from their destinations.  Most of the roads and sidewalks are all in good repair, except there is a large amount of trash that can be seen alongside the roads and buildings.  Sentinel City is made up of four different neighborhoods.  The only</w:t>
      </w:r>
      <w:r>
        <w:t xml:space="preserve"> real distinction from moving between the different neighborhoods is the difference in amenities and housing.  Most of the housing and buildings are all made of brick and mortar and are all connected.  There are no single-family residences noted in the cit</w:t>
      </w:r>
      <w:r>
        <w:t>y and the housing that is seen is apartment style.  The state of buildings depends on what area of the city you are in; more of the vacant and boarded up buildings are seen in the Industrial Heights neighborhood.  The majority of the people seen out on the</w:t>
      </w:r>
      <w:r>
        <w:t xml:space="preserve"> street are women and children. A group of community service workers can be seen cleaning up a green space.  There are also stray dogs and cats that can be seen roaming around.  The city’s population appears to be primarily Caucasian but there are other et</w:t>
      </w:r>
      <w:r>
        <w:t>hnic backgrounds that can be seen, such as, African American and Hispanic.  There is one park located in the city and that is one of the common neighborhood “hangouts”.  Some of the other areas that people congregate at are the schoolyard, restaurants, mar</w:t>
      </w:r>
      <w:r>
        <w:t>kets or stores and coffee shops.  Most of the community amenities can be found in the Acer Tech District, which include the community center.  The Community Center offers parenting classes, Alcoholics Anonymous, computer classes, and English learner classe</w:t>
      </w:r>
      <w:r>
        <w:t>s (Healthcare Learning Innovation, 2020).  Police patrols and a firetruck can also be seen driving around the city.  There is one church that can be seen, and protestors can be seen outside of City Hall.  There is one healthcare facility that is near the c</w:t>
      </w:r>
      <w:r>
        <w:t>enter of the city.  There is only one grocery store but a few convenience-style stores throughout the city.  The billboards that can be seen throughout the city promote healthy lifestyles.</w:t>
      </w:r>
    </w:p>
    <w:p w14:paraId="6168D39E" w14:textId="77777777" w:rsidR="00E16A7A" w:rsidRDefault="00D87926">
      <w:pPr>
        <w:spacing w:after="236" w:line="259" w:lineRule="auto"/>
        <w:ind w:left="-2" w:firstLine="0"/>
      </w:pPr>
      <w:r>
        <w:rPr>
          <w:b/>
          <w:u w:val="single" w:color="333333"/>
        </w:rPr>
        <w:lastRenderedPageBreak/>
        <w:t xml:space="preserve"> B1. Data Analysis: </w:t>
      </w:r>
      <w:r>
        <w:rPr>
          <w:b/>
          <w:u w:val="single" w:color="333333"/>
          <w:shd w:val="clear" w:color="auto" w:fill="FFFFFF"/>
        </w:rPr>
        <w:t xml:space="preserve"> Interpretation of Data </w:t>
      </w:r>
    </w:p>
    <w:p w14:paraId="0D8B410C" w14:textId="77777777" w:rsidR="00E16A7A" w:rsidRDefault="00D87926">
      <w:pPr>
        <w:spacing w:after="236" w:line="259" w:lineRule="auto"/>
        <w:ind w:left="-5"/>
      </w:pPr>
      <w:r>
        <w:t>While completing my as</w:t>
      </w:r>
      <w:r>
        <w:t xml:space="preserve">sessment of Sentinel City, I was able to visit the Better Health Clinic.  </w:t>
      </w:r>
    </w:p>
    <w:p w14:paraId="324B2B5F" w14:textId="77777777" w:rsidR="00E16A7A" w:rsidRDefault="00D87926">
      <w:pPr>
        <w:ind w:left="-5"/>
      </w:pPr>
      <w:r>
        <w:t>The Better Health Clinic provides services for sexually transmitted diseases and infections as well as other services regarding sexual health.  The data found at the clinic showed t</w:t>
      </w:r>
      <w:r>
        <w:t xml:space="preserve">hat there is a large amount of people ages 15-24 that have been diagnosed with Chlamydia (71%) and </w:t>
      </w:r>
    </w:p>
    <w:p w14:paraId="08CBB654" w14:textId="77777777" w:rsidR="00E16A7A" w:rsidRDefault="00D87926">
      <w:pPr>
        <w:ind w:left="-5"/>
      </w:pPr>
      <w:r>
        <w:t>Gonorrhea (58%) (Healthcare Learning Innovation, 2020).  Another area of concern in Sentinel City, is the number of teen pregnancies.  According to the data</w:t>
      </w:r>
      <w:r>
        <w:t xml:space="preserve"> found at the Better Health Clinic, there was 219 documented pregnancies in teens ages 15 to 17 years old in the last year (Healthcare Learning Innovation, 2020).  </w:t>
      </w:r>
    </w:p>
    <w:p w14:paraId="0A1E6DB1" w14:textId="77777777" w:rsidR="00E16A7A" w:rsidRDefault="00D87926">
      <w:pPr>
        <w:ind w:left="-5"/>
      </w:pPr>
      <w:r>
        <w:t>Out of the four neighborhoods in Sentinel City, the Casper Park District and the Industrial</w:t>
      </w:r>
      <w:r>
        <w:t xml:space="preserve"> Heights have the largest percentages of people under the age of 18.  Those neighborhoods also have the largest percentages of people under the age of 65 who are without insurance as well as the lowest median household incomes.  The large percentage of peo</w:t>
      </w:r>
      <w:r>
        <w:t>ple under 18 years old, uninsured, and low-income is significant when determining the epidemiologic rationale for the elevated percentages of STIs and pregnancies in teens.</w:t>
      </w:r>
    </w:p>
    <w:p w14:paraId="4C62C31E" w14:textId="77777777" w:rsidR="00E16A7A" w:rsidRDefault="00D87926">
      <w:pPr>
        <w:ind w:left="-5"/>
      </w:pPr>
      <w:r>
        <w:t>The youth immunization data that was found at the Public Health Department in Senti</w:t>
      </w:r>
      <w:r>
        <w:t xml:space="preserve">nel City, shows that another area for concern is vaccination rates.  According to the data, some of the neighborhoods in Sentinel City fall below the rest of the United States in certain immunization categories.  The two neighborhoods that do not meet the </w:t>
      </w:r>
      <w:r>
        <w:t>U.S. percentages in immunizations for adolescents are the Casper Park District and Industrial Heights.  The data found at the Public Health Department shows that the U.S. percentage rates for adolescent immunizations are 88.9% for Tdap, 69.9% for HPV (fema</w:t>
      </w:r>
      <w:r>
        <w:t xml:space="preserve">le), 66.3% HPV (male), 50.8% for Meningococcal, and 92.1% for Hepatitis B (Healthcare Learning Innovation, 2020).  Casper Park District percentages </w:t>
      </w:r>
      <w:r>
        <w:lastRenderedPageBreak/>
        <w:t>for immunization rates are 87% for Tdap, 66.5% for HPV (female), 63.4% for HPV (male), 48% for Meningococcal</w:t>
      </w:r>
      <w:r>
        <w:t xml:space="preserve">, and 89% for Hepatitis B; and Industrial Heights percentages are 86.9%, 64.1%, </w:t>
      </w:r>
    </w:p>
    <w:p w14:paraId="03E428FF" w14:textId="77777777" w:rsidR="00E16A7A" w:rsidRDefault="00D87926">
      <w:pPr>
        <w:ind w:left="-5"/>
      </w:pPr>
      <w:r>
        <w:t xml:space="preserve">60%, 45%, and 88.8% respectively (Healthcare Learning Innovation, 2020).   The Casper Park </w:t>
      </w:r>
      <w:r>
        <w:t>District and Industrial Heights neighborhoods have the two lowest median household incomes out of the four neighborhoods in Sentinel City, as well as, having the largest population of adolescents and the highest percentage of people without health insuranc</w:t>
      </w:r>
      <w:r>
        <w:t xml:space="preserve">e (Healthcare Learning Innovation, 2020).  The lower household income coupled with the lack of health insurance could represent an epidemiological correlation for the reduced percentage of adolescent immunizations.  </w:t>
      </w:r>
    </w:p>
    <w:p w14:paraId="630582F8" w14:textId="77777777" w:rsidR="00E16A7A" w:rsidRDefault="00D87926">
      <w:pPr>
        <w:ind w:left="-5"/>
      </w:pPr>
      <w:r>
        <w:t>Substance abuse is also a concern found</w:t>
      </w:r>
      <w:r>
        <w:t xml:space="preserve"> in Sentinel City.  According to the pharmacy data tables, of the population 24% use tobacco, 36% use alcohol, 12% use marijuana, 5% use cocaine, 7% heroin, 10% methamphetamines, and 18% prescription drug abuse was reported in the last year </w:t>
      </w:r>
    </w:p>
    <w:p w14:paraId="657E571B" w14:textId="77777777" w:rsidR="00E16A7A" w:rsidRDefault="00D87926">
      <w:pPr>
        <w:ind w:left="-5"/>
      </w:pPr>
      <w:r>
        <w:t>(Healthcare Learning Innovation, 2020).  There is an Alcoholics Anonymous meeting held at the Community Center and it does appear that some of the residents attend meetings.  According to the Police Department, 16% of the most common arrest charges are for</w:t>
      </w:r>
      <w:r>
        <w:t xml:space="preserve"> controlled substances (Healthcare Learning Innovation, 2020).  Age and socioeconomic status can be a correlation when looking at substance abuse statistics.  </w:t>
      </w:r>
    </w:p>
    <w:p w14:paraId="3AE0A00B" w14:textId="77777777" w:rsidR="00E16A7A" w:rsidRDefault="00D87926">
      <w:pPr>
        <w:spacing w:after="236"/>
        <w:ind w:left="-5"/>
      </w:pPr>
      <w:r>
        <w:t>Another health concern identified in conducting the community assessment, is the prevalence of v</w:t>
      </w:r>
      <w:r>
        <w:t>iolent crimes.  According to the Sentinel City Police Department, in the last year there were a total of 2,122 violent crimes reported with 1,231 of those crimes being aggravated assaults and at least 100 of those assaults being gang-related (Healthcare Le</w:t>
      </w:r>
      <w:r>
        <w:t xml:space="preserve">arning Innovation, 2020).  </w:t>
      </w:r>
      <w:r>
        <w:lastRenderedPageBreak/>
        <w:t>One of the goals of Health People 2020 is injury and violence prevention with a sub goal to reduce physical assaults.  According to the data presented on the Health People 2020 website, in 2015, there were 14.8 assaults per 1,000</w:t>
      </w:r>
      <w:r>
        <w:t xml:space="preserve"> people (Injury and Violence Prevention, 2020).  The data also showed that the assaults are more frequent in the 12-17-year-old age category and those with lower family incomes, mostly those making $35,000 or less annually (Injury and Violence </w:t>
      </w:r>
    </w:p>
    <w:p w14:paraId="56689BCA" w14:textId="77777777" w:rsidR="00E16A7A" w:rsidRDefault="00D87926">
      <w:pPr>
        <w:spacing w:after="236" w:line="259" w:lineRule="auto"/>
        <w:ind w:left="-5"/>
      </w:pPr>
      <w:r>
        <w:t>Prevention,</w:t>
      </w:r>
      <w:r>
        <w:t xml:space="preserve"> 2020).  </w:t>
      </w:r>
    </w:p>
    <w:p w14:paraId="062D6D67" w14:textId="77777777" w:rsidR="00E16A7A" w:rsidRDefault="00D87926">
      <w:pPr>
        <w:spacing w:after="236" w:line="259" w:lineRule="auto"/>
        <w:ind w:left="-5"/>
      </w:pPr>
      <w:r>
        <w:rPr>
          <w:b/>
          <w:u w:val="single" w:color="333333"/>
        </w:rPr>
        <w:t>C. Sentinel City Health Concerns</w:t>
      </w:r>
    </w:p>
    <w:p w14:paraId="17CAB3CE" w14:textId="77777777" w:rsidR="00E16A7A" w:rsidRDefault="00D87926">
      <w:pPr>
        <w:pStyle w:val="Heading1"/>
        <w:ind w:left="-5"/>
      </w:pPr>
      <w:r>
        <w:rPr>
          <w:noProof/>
          <w:color w:val="000000"/>
          <w:sz w:val="22"/>
        </w:rPr>
        <mc:AlternateContent>
          <mc:Choice Requires="wpg">
            <w:drawing>
              <wp:anchor distT="0" distB="0" distL="114300" distR="114300" simplePos="0" relativeHeight="251658240" behindDoc="1" locked="0" layoutInCell="1" allowOverlap="1" wp14:anchorId="4E94A391" wp14:editId="3753C7D8">
                <wp:simplePos x="0" y="0"/>
                <wp:positionH relativeFrom="column">
                  <wp:posOffset>1647190</wp:posOffset>
                </wp:positionH>
                <wp:positionV relativeFrom="paragraph">
                  <wp:posOffset>-6433</wp:posOffset>
                </wp:positionV>
                <wp:extent cx="76200" cy="175260"/>
                <wp:effectExtent l="0" t="0" r="0" b="0"/>
                <wp:wrapNone/>
                <wp:docPr id="6981" name="Group 6981"/>
                <wp:cNvGraphicFramePr/>
                <a:graphic xmlns:a="http://schemas.openxmlformats.org/drawingml/2006/main">
                  <a:graphicData uri="http://schemas.microsoft.com/office/word/2010/wordprocessingGroup">
                    <wpg:wgp>
                      <wpg:cNvGrpSpPr/>
                      <wpg:grpSpPr>
                        <a:xfrm>
                          <a:off x="0" y="0"/>
                          <a:ext cx="76200" cy="175260"/>
                          <a:chOff x="0" y="0"/>
                          <a:chExt cx="76200" cy="175260"/>
                        </a:xfrm>
                      </wpg:grpSpPr>
                      <wps:wsp>
                        <wps:cNvPr id="7803" name="Shape 7803"/>
                        <wps:cNvSpPr/>
                        <wps:spPr>
                          <a:xfrm>
                            <a:off x="0" y="0"/>
                            <a:ext cx="76200" cy="175260"/>
                          </a:xfrm>
                          <a:custGeom>
                            <a:avLst/>
                            <a:gdLst/>
                            <a:ahLst/>
                            <a:cxnLst/>
                            <a:rect l="0" t="0" r="0" b="0"/>
                            <a:pathLst>
                              <a:path w="76200" h="175260">
                                <a:moveTo>
                                  <a:pt x="0" y="0"/>
                                </a:moveTo>
                                <a:lnTo>
                                  <a:pt x="76200" y="0"/>
                                </a:lnTo>
                                <a:lnTo>
                                  <a:pt x="76200"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6981" style="width:6pt;height:13.8pt;position:absolute;z-index:-2147483636;mso-position-horizontal-relative:text;mso-position-horizontal:absolute;margin-left:129.7pt;mso-position-vertical-relative:text;margin-top:-0.506653pt;" coordsize="762,1752">
                <v:shape id="Shape 7804" style="position:absolute;width:762;height:1752;left:0;top:0;" coordsize="76200,175260" path="m0,0l76200,0l76200,175260l0,175260l0,0">
                  <v:stroke weight="0pt" endcap="flat" joinstyle="miter" miterlimit="10" on="false" color="#000000" opacity="0"/>
                  <v:fill on="true" color="#ffffff"/>
                </v:shape>
              </v:group>
            </w:pict>
          </mc:Fallback>
        </mc:AlternateContent>
      </w:r>
      <w:r>
        <w:t>C1. Three Problem Areas</w:t>
      </w:r>
      <w:r>
        <w:rPr>
          <w:u w:val="none" w:color="000000"/>
        </w:rPr>
        <w:t xml:space="preserve">  </w:t>
      </w:r>
      <w:r>
        <w:rPr>
          <w:color w:val="FF0000"/>
          <w:u w:val="none" w:color="000000"/>
        </w:rPr>
        <w:t xml:space="preserve"> </w:t>
      </w:r>
    </w:p>
    <w:p w14:paraId="56609FD4" w14:textId="77777777" w:rsidR="00E16A7A" w:rsidRDefault="00D87926">
      <w:pPr>
        <w:spacing w:after="236" w:line="259" w:lineRule="auto"/>
        <w:ind w:left="-5"/>
      </w:pPr>
      <w:r>
        <w:rPr>
          <w:b/>
          <w:color w:val="00000A"/>
        </w:rPr>
        <w:t xml:space="preserve">Health Concern 1/HP 2020 Goal/Objective: </w:t>
      </w:r>
    </w:p>
    <w:p w14:paraId="53E0787B" w14:textId="77777777" w:rsidR="00E16A7A" w:rsidRDefault="00D87926">
      <w:pPr>
        <w:ind w:left="-5"/>
      </w:pPr>
      <w:r>
        <w:t>According to Healthy People 2020 website, a current objective is to “reduce the proportion of adolescents and young adults with Chlamydia trach</w:t>
      </w:r>
      <w:r>
        <w:t>omatis infections” (Sexually Transmitted Disease, 2020). The Better Health Clinic provides services regarding sexual health as stated earlier.  The data found at the clinic was that 71% of people ages 15-24 that have been diagnosed with Chlamydia in the la</w:t>
      </w:r>
      <w:r>
        <w:t xml:space="preserve">st year (Healthcare Learning Innovation, 2020).  The Casper Park District and the Industrial Heights have the largest population of people in the age range of 15-24 and the Better Health Clinic is located in the Industrial Heights neighborhood.  </w:t>
      </w:r>
    </w:p>
    <w:p w14:paraId="657AF92C" w14:textId="77777777" w:rsidR="00E16A7A" w:rsidRDefault="00D87926">
      <w:pPr>
        <w:spacing w:after="236" w:line="259" w:lineRule="auto"/>
        <w:ind w:left="-5"/>
      </w:pPr>
      <w:r>
        <w:rPr>
          <w:b/>
          <w:color w:val="00000A"/>
        </w:rPr>
        <w:t>Health Co</w:t>
      </w:r>
      <w:r>
        <w:rPr>
          <w:b/>
          <w:color w:val="00000A"/>
        </w:rPr>
        <w:t xml:space="preserve">ncern 2/HP 2020 Goal/Objective: </w:t>
      </w:r>
    </w:p>
    <w:p w14:paraId="39B5FBCE" w14:textId="77777777" w:rsidR="00E16A7A" w:rsidRDefault="00D87926">
      <w:pPr>
        <w:ind w:left="-5"/>
      </w:pPr>
      <w:r>
        <w:rPr>
          <w:color w:val="00000A"/>
        </w:rPr>
        <w:t>Another current goal, according to Healthy People 2020 website, is reducing substance abuse.  Substance abuse includes illegal drugs, prescription drugs, alcohol and tobacco.  “Almost 95 percent of people with substance use</w:t>
      </w:r>
      <w:r>
        <w:rPr>
          <w:color w:val="00000A"/>
        </w:rPr>
        <w:t xml:space="preserve"> problems are considered unaware of their problem” </w:t>
      </w:r>
    </w:p>
    <w:p w14:paraId="1589DA1E" w14:textId="77777777" w:rsidR="00E16A7A" w:rsidRDefault="00D87926">
      <w:pPr>
        <w:spacing w:after="236" w:line="259" w:lineRule="auto"/>
        <w:ind w:left="-5"/>
      </w:pPr>
      <w:r>
        <w:rPr>
          <w:color w:val="00000A"/>
        </w:rPr>
        <w:t xml:space="preserve">(Substance Abuse, 2020).  According to the data found at the pharmacy in Sentinel City, about </w:t>
      </w:r>
    </w:p>
    <w:p w14:paraId="648160ED" w14:textId="77777777" w:rsidR="00E16A7A" w:rsidRDefault="00D87926">
      <w:pPr>
        <w:ind w:left="-5"/>
      </w:pPr>
      <w:r>
        <w:rPr>
          <w:color w:val="00000A"/>
        </w:rPr>
        <w:lastRenderedPageBreak/>
        <w:t xml:space="preserve">36% of the population report using alcohol in the last year </w:t>
      </w:r>
      <w:r>
        <w:t>(Healthcare Learning Innovation, 2020).  The Sent</w:t>
      </w:r>
      <w:r>
        <w:t xml:space="preserve">inel City Community Center also has an Alcoholics Anonymous program and it appears that there are a few community members that attend meetings.    </w:t>
      </w:r>
    </w:p>
    <w:p w14:paraId="52704E7F" w14:textId="77777777" w:rsidR="00E16A7A" w:rsidRDefault="00D87926">
      <w:pPr>
        <w:spacing w:after="236" w:line="259" w:lineRule="auto"/>
        <w:ind w:left="-5"/>
      </w:pPr>
      <w:r>
        <w:rPr>
          <w:b/>
          <w:color w:val="00000A"/>
        </w:rPr>
        <w:t xml:space="preserve">Health Concern 3/HP 2020 Goal/Objective: </w:t>
      </w:r>
    </w:p>
    <w:p w14:paraId="39803547" w14:textId="77777777" w:rsidR="00E16A7A" w:rsidRDefault="00D87926">
      <w:pPr>
        <w:spacing w:after="236" w:line="259" w:lineRule="auto"/>
        <w:ind w:left="-5"/>
      </w:pPr>
      <w:r>
        <w:rPr>
          <w:color w:val="00000A"/>
        </w:rPr>
        <w:t>Lastly, a goal listed on the Healthy People 2020 website concernin</w:t>
      </w:r>
      <w:r>
        <w:rPr>
          <w:color w:val="00000A"/>
        </w:rPr>
        <w:t xml:space="preserve">g to Sentinel City is to </w:t>
      </w:r>
    </w:p>
    <w:p w14:paraId="0688C827" w14:textId="77777777" w:rsidR="00E16A7A" w:rsidRDefault="00D87926">
      <w:pPr>
        <w:ind w:left="-5"/>
      </w:pPr>
      <w:r>
        <w:rPr>
          <w:color w:val="00000A"/>
        </w:rPr>
        <w:t>“Increase immunization rates and reduce preventable infectious diseases” (Immunizations and Infectious Diseases, 2020).</w:t>
      </w:r>
      <w:r>
        <w:t xml:space="preserve"> The youth vaccination rates found at Sentinel City Public Health Department were concerning as some of the nei</w:t>
      </w:r>
      <w:r>
        <w:t xml:space="preserve">ghborhoods were at lower percentage rates when compared to the United States as a whole.  There are many diseases that can be prevented with the use of vaccines, but the vaccines only work if they are taken.      </w:t>
      </w:r>
    </w:p>
    <w:p w14:paraId="48732E19" w14:textId="77777777" w:rsidR="00E16A7A" w:rsidRDefault="00D87926">
      <w:pPr>
        <w:pStyle w:val="Heading1"/>
        <w:ind w:left="-5"/>
      </w:pPr>
      <w:r>
        <w:t>C2. Discussion of Community Resources</w:t>
      </w:r>
    </w:p>
    <w:p w14:paraId="05BC5C30" w14:textId="77777777" w:rsidR="00E16A7A" w:rsidRDefault="00D87926">
      <w:pPr>
        <w:spacing w:after="236" w:line="259" w:lineRule="auto"/>
        <w:ind w:left="-5"/>
      </w:pPr>
      <w:r>
        <w:rPr>
          <w:color w:val="00000A"/>
        </w:rPr>
        <w:t>An i</w:t>
      </w:r>
      <w:r>
        <w:rPr>
          <w:color w:val="00000A"/>
        </w:rPr>
        <w:t xml:space="preserve">mportant health concern that was discussed previously in this paper is Sexually Transmitted </w:t>
      </w:r>
    </w:p>
    <w:p w14:paraId="26294E84" w14:textId="77777777" w:rsidR="00E16A7A" w:rsidRDefault="00D87926">
      <w:pPr>
        <w:ind w:left="-5"/>
      </w:pPr>
      <w:r>
        <w:rPr>
          <w:color w:val="00000A"/>
        </w:rPr>
        <w:t>Diseases/Infections prevalence.  The first community resource that could be utilized within Sentinel City would be the Better Health Clinic.  The Better Health Cli</w:t>
      </w:r>
      <w:r>
        <w:rPr>
          <w:color w:val="00000A"/>
        </w:rPr>
        <w:t xml:space="preserve">nic already provides many services related to sexual health and they could be useful in getting education out to the community.  Another resource that could be beneficial in reducing the prevalence of STDs/STIs, would be the Public Health Department.  The </w:t>
      </w:r>
      <w:r>
        <w:rPr>
          <w:color w:val="00000A"/>
        </w:rPr>
        <w:t>Public Health Department in Sentinel City is another outlet to distribute information regarding STDs/STIs and is also a source for data collection.  The Sentinel City School District is another resource that could be utilized in the community.  Educational</w:t>
      </w:r>
      <w:r>
        <w:rPr>
          <w:color w:val="00000A"/>
        </w:rPr>
        <w:t xml:space="preserve"> classes regarding sexual health including the risks of STDs/STIs could be held in the schools with parent/guardian permission.  The Sentinel City Community Center is also a good resource in the community for education.  Many people, young and old, already</w:t>
      </w:r>
      <w:r>
        <w:rPr>
          <w:color w:val="00000A"/>
        </w:rPr>
        <w:t xml:space="preserve"> frequent the Community Center for various classes or community meetings and it would make </w:t>
      </w:r>
      <w:r>
        <w:rPr>
          <w:color w:val="00000A"/>
        </w:rPr>
        <w:lastRenderedPageBreak/>
        <w:t>just one more location that people in the community could be provided with education and resources regarding their sexual health.</w:t>
      </w:r>
    </w:p>
    <w:p w14:paraId="19B5F6D2" w14:textId="77777777" w:rsidR="00E16A7A" w:rsidRDefault="00D87926">
      <w:pPr>
        <w:pStyle w:val="Heading1"/>
        <w:ind w:left="-5"/>
      </w:pPr>
      <w:r>
        <w:t>C3. Primary Prevention Topic</w:t>
      </w:r>
    </w:p>
    <w:p w14:paraId="74CA9A19" w14:textId="77777777" w:rsidR="00E16A7A" w:rsidRDefault="00D87926">
      <w:pPr>
        <w:ind w:left="-5"/>
      </w:pPr>
      <w:r>
        <w:rPr>
          <w:color w:val="00000A"/>
        </w:rPr>
        <w:t>One of</w:t>
      </w:r>
      <w:r>
        <w:rPr>
          <w:color w:val="00000A"/>
        </w:rPr>
        <w:t xml:space="preserve"> the goals listed on the Healthy People 2020 website is to “promote healthy sexual behaviors, strengthen community capacity, and increase access to quality services to prevent sexually transmitted diseases (STDs) and their complications” (Sexually Transmit</w:t>
      </w:r>
      <w:r>
        <w:rPr>
          <w:color w:val="00000A"/>
        </w:rPr>
        <w:t>ted Diseases, 2020).  The prevention of sexually transmitted infections is the primary prevention topic selected for Sentinel City.  The many resources that are available in Sentinel City will allow for an adequate prevention campaign.</w:t>
      </w:r>
    </w:p>
    <w:p w14:paraId="1B8699AF" w14:textId="77777777" w:rsidR="00E16A7A" w:rsidRDefault="00D87926">
      <w:pPr>
        <w:ind w:left="-5" w:right="114"/>
      </w:pPr>
      <w:r>
        <w:rPr>
          <w:noProof/>
          <w:color w:val="000000"/>
          <w:sz w:val="22"/>
        </w:rPr>
        <mc:AlternateContent>
          <mc:Choice Requires="wpg">
            <w:drawing>
              <wp:anchor distT="0" distB="0" distL="114300" distR="114300" simplePos="0" relativeHeight="251659264" behindDoc="1" locked="0" layoutInCell="1" allowOverlap="1" wp14:anchorId="24267EF7" wp14:editId="73E186DE">
                <wp:simplePos x="0" y="0"/>
                <wp:positionH relativeFrom="column">
                  <wp:posOffset>2560320</wp:posOffset>
                </wp:positionH>
                <wp:positionV relativeFrom="paragraph">
                  <wp:posOffset>-6433</wp:posOffset>
                </wp:positionV>
                <wp:extent cx="3064510" cy="175260"/>
                <wp:effectExtent l="0" t="0" r="0" b="0"/>
                <wp:wrapNone/>
                <wp:docPr id="7374" name="Group 7374"/>
                <wp:cNvGraphicFramePr/>
                <a:graphic xmlns:a="http://schemas.openxmlformats.org/drawingml/2006/main">
                  <a:graphicData uri="http://schemas.microsoft.com/office/word/2010/wordprocessingGroup">
                    <wpg:wgp>
                      <wpg:cNvGrpSpPr/>
                      <wpg:grpSpPr>
                        <a:xfrm>
                          <a:off x="0" y="0"/>
                          <a:ext cx="3064510" cy="175260"/>
                          <a:chOff x="0" y="0"/>
                          <a:chExt cx="3064510" cy="175260"/>
                        </a:xfrm>
                      </wpg:grpSpPr>
                      <wps:wsp>
                        <wps:cNvPr id="7805" name="Shape 7805"/>
                        <wps:cNvSpPr/>
                        <wps:spPr>
                          <a:xfrm>
                            <a:off x="0" y="0"/>
                            <a:ext cx="422910" cy="175260"/>
                          </a:xfrm>
                          <a:custGeom>
                            <a:avLst/>
                            <a:gdLst/>
                            <a:ahLst/>
                            <a:cxnLst/>
                            <a:rect l="0" t="0" r="0" b="0"/>
                            <a:pathLst>
                              <a:path w="422910" h="175260">
                                <a:moveTo>
                                  <a:pt x="0" y="0"/>
                                </a:moveTo>
                                <a:lnTo>
                                  <a:pt x="422910" y="0"/>
                                </a:lnTo>
                                <a:lnTo>
                                  <a:pt x="422910"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06" name="Shape 7806"/>
                        <wps:cNvSpPr/>
                        <wps:spPr>
                          <a:xfrm>
                            <a:off x="422910" y="0"/>
                            <a:ext cx="2641600" cy="175260"/>
                          </a:xfrm>
                          <a:custGeom>
                            <a:avLst/>
                            <a:gdLst/>
                            <a:ahLst/>
                            <a:cxnLst/>
                            <a:rect l="0" t="0" r="0" b="0"/>
                            <a:pathLst>
                              <a:path w="2641600" h="175260">
                                <a:moveTo>
                                  <a:pt x="0" y="0"/>
                                </a:moveTo>
                                <a:lnTo>
                                  <a:pt x="2641600" y="0"/>
                                </a:lnTo>
                                <a:lnTo>
                                  <a:pt x="2641600"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7374" style="width:241.3pt;height:13.8pt;position:absolute;z-index:-2147483634;mso-position-horizontal-relative:text;mso-position-horizontal:absolute;margin-left:201.6pt;mso-position-vertical-relative:text;margin-top:-0.506653pt;" coordsize="30645,1752">
                <v:shape id="Shape 7807" style="position:absolute;width:4229;height:1752;left:0;top:0;" coordsize="422910,175260" path="m0,0l422910,0l422910,175260l0,175260l0,0">
                  <v:stroke weight="0pt" endcap="flat" joinstyle="miter" miterlimit="10" on="false" color="#000000" opacity="0"/>
                  <v:fill on="true" color="#ffffff"/>
                </v:shape>
                <v:shape id="Shape 7808" style="position:absolute;width:26416;height:1752;left:4229;top:0;" coordsize="2641600,175260" path="m0,0l2641600,0l2641600,175260l0,175260l0,0">
                  <v:stroke weight="0pt" endcap="flat" joinstyle="miter" miterlimit="10" on="false" color="#000000" opacity="0"/>
                  <v:fill on="true" color="#ffffff"/>
                </v:shape>
              </v:group>
            </w:pict>
          </mc:Fallback>
        </mc:AlternateContent>
      </w:r>
      <w:r>
        <w:rPr>
          <w:b/>
          <w:u w:val="single" w:color="333333"/>
        </w:rPr>
        <w:t xml:space="preserve"> D. Application of </w:t>
      </w:r>
      <w:r>
        <w:rPr>
          <w:b/>
          <w:u w:val="single" w:color="333333"/>
        </w:rPr>
        <w:t xml:space="preserve">Assessment </w:t>
      </w:r>
      <w:proofErr w:type="gramStart"/>
      <w:r>
        <w:rPr>
          <w:b/>
          <w:u w:val="single" w:color="333333"/>
        </w:rPr>
        <w:t xml:space="preserve">Strategies  </w:t>
      </w:r>
      <w:r>
        <w:rPr>
          <w:b/>
          <w:color w:val="00000A"/>
          <w:u w:val="single" w:color="333333"/>
        </w:rPr>
        <w:t>/</w:t>
      </w:r>
      <w:proofErr w:type="gramEnd"/>
      <w:r>
        <w:rPr>
          <w:b/>
          <w:color w:val="00000A"/>
          <w:u w:val="single" w:color="333333"/>
        </w:rPr>
        <w:t>Tools</w:t>
      </w:r>
      <w:r>
        <w:rPr>
          <w:b/>
          <w:u w:val="single" w:color="333333"/>
        </w:rPr>
        <w:t xml:space="preserve">  between Simulation and My Community </w:t>
      </w:r>
      <w:r>
        <w:rPr>
          <w:color w:val="00000A"/>
        </w:rPr>
        <w:t>The simulation city of Sentinel City is an in-depth look at a large urban city with a fairly diverse population that has many similar healthcare problems as many other large cities in the U</w:t>
      </w:r>
      <w:r>
        <w:rPr>
          <w:color w:val="00000A"/>
        </w:rPr>
        <w:t xml:space="preserve">nited </w:t>
      </w:r>
    </w:p>
    <w:p w14:paraId="15C297EF" w14:textId="77777777" w:rsidR="00E16A7A" w:rsidRDefault="00D87926">
      <w:pPr>
        <w:ind w:left="-5"/>
      </w:pPr>
      <w:r>
        <w:rPr>
          <w:color w:val="00000A"/>
        </w:rPr>
        <w:t>States today.  I currently live in a city called Milwaukee which is located in Milwaukee County, Wisconsin and is larger in size compared to Sentinel City.  The city of Milwaukee has an estimated population of 590,157 people and the county has appro</w:t>
      </w:r>
      <w:r>
        <w:rPr>
          <w:color w:val="00000A"/>
        </w:rPr>
        <w:t xml:space="preserve">ximately 946,000 people, according to the United States Census Bureau, with a median household income of around $49,000.  During my tour of Sentinel City and completing the windshield survey, I found it to be very easy to overlook certain aspects of one’s </w:t>
      </w:r>
      <w:r>
        <w:rPr>
          <w:color w:val="00000A"/>
        </w:rPr>
        <w:t xml:space="preserve">community.  I found the windshield survey to be a very useful tool when trying to pinpoint features of the community to get a better general picture of what the community is in need of.  I feel like living in a larger city can make you blinded to what the </w:t>
      </w:r>
      <w:r>
        <w:rPr>
          <w:color w:val="00000A"/>
        </w:rPr>
        <w:t>needs may be of your neighboring community and having Sentinel City to teach me community assessment skills is something that I will definitely be able to use in my current nursing practice, but also in my daily life outside of the hospital.</w:t>
      </w:r>
    </w:p>
    <w:p w14:paraId="654B58A1" w14:textId="77777777" w:rsidR="00E16A7A" w:rsidRDefault="00D87926">
      <w:pPr>
        <w:spacing w:after="200" w:line="259" w:lineRule="auto"/>
        <w:ind w:left="5" w:firstLine="0"/>
        <w:jc w:val="center"/>
      </w:pPr>
      <w:r>
        <w:rPr>
          <w:b/>
        </w:rPr>
        <w:lastRenderedPageBreak/>
        <w:t>References</w:t>
      </w:r>
    </w:p>
    <w:p w14:paraId="16940A28" w14:textId="77777777" w:rsidR="00E16A7A" w:rsidRDefault="00D87926">
      <w:pPr>
        <w:spacing w:after="280" w:line="226" w:lineRule="auto"/>
        <w:ind w:left="705" w:hanging="720"/>
      </w:pPr>
      <w:r>
        <w:rPr>
          <w:color w:val="00000A"/>
        </w:rPr>
        <w:t xml:space="preserve">Healthcare Learning Innovations. (2020). Sentinel City 2.3 [Computer software]. Retrieved from </w:t>
      </w:r>
      <w:hyperlink r:id="rId6" w:anchor="03tlb">
        <w:r>
          <w:rPr>
            <w:color w:val="5F5F5F"/>
            <w:u w:val="single" w:color="5F5F5F"/>
          </w:rPr>
          <w:t>https://wgu.ucertify.com/?func=ebook&amp;chapter_no=7#03tlb</w:t>
        </w:r>
      </w:hyperlink>
    </w:p>
    <w:p w14:paraId="48566910" w14:textId="77777777" w:rsidR="00E16A7A" w:rsidRDefault="00D87926">
      <w:pPr>
        <w:spacing w:after="0" w:line="265" w:lineRule="auto"/>
        <w:ind w:left="-5"/>
      </w:pPr>
      <w:r>
        <w:rPr>
          <w:color w:val="000000"/>
        </w:rPr>
        <w:t xml:space="preserve">Office of Disease Prevention and Health Promotion. (2020). </w:t>
      </w:r>
      <w:r>
        <w:rPr>
          <w:color w:val="00000A"/>
        </w:rPr>
        <w:t xml:space="preserve">Immunization and Infectious </w:t>
      </w:r>
    </w:p>
    <w:p w14:paraId="36095E0F" w14:textId="77777777" w:rsidR="00E16A7A" w:rsidRDefault="00D87926">
      <w:pPr>
        <w:spacing w:after="280" w:line="226" w:lineRule="auto"/>
        <w:ind w:left="720" w:firstLine="0"/>
      </w:pPr>
      <w:r>
        <w:rPr>
          <w:color w:val="00000A"/>
        </w:rPr>
        <w:t xml:space="preserve">Diseases. Retrieved from </w:t>
      </w:r>
      <w:hyperlink r:id="rId7">
        <w:r>
          <w:rPr>
            <w:color w:val="5F5F5F"/>
            <w:u w:val="single" w:color="5F5F5F"/>
          </w:rPr>
          <w:t>https://www.healthypeople.gov/2020/topics</w:t>
        </w:r>
      </w:hyperlink>
      <w:hyperlink r:id="rId8">
        <w:r>
          <w:rPr>
            <w:color w:val="5F5F5F"/>
            <w:u w:val="single" w:color="5F5F5F"/>
          </w:rPr>
          <w:t>objectives/topic/immunization-and-infectious-diseases</w:t>
        </w:r>
      </w:hyperlink>
    </w:p>
    <w:p w14:paraId="206A37B9" w14:textId="77777777" w:rsidR="00E16A7A" w:rsidRDefault="00D87926">
      <w:pPr>
        <w:spacing w:after="280" w:line="226" w:lineRule="auto"/>
        <w:ind w:left="715" w:hanging="730"/>
      </w:pPr>
      <w:r>
        <w:rPr>
          <w:color w:val="000000"/>
        </w:rPr>
        <w:t xml:space="preserve">Office of Disease </w:t>
      </w:r>
      <w:r>
        <w:rPr>
          <w:color w:val="000000"/>
        </w:rPr>
        <w:t xml:space="preserve">Prevention and Health Promotion. (2020). </w:t>
      </w:r>
      <w:r>
        <w:rPr>
          <w:color w:val="00000A"/>
        </w:rPr>
        <w:t xml:space="preserve">Injury and Violence Prevention. Retrieved from </w:t>
      </w:r>
      <w:hyperlink r:id="rId9" w:anchor="topic-area=3497">
        <w:r>
          <w:rPr>
            <w:color w:val="5F5F5F"/>
            <w:u w:val="single" w:color="5F5F5F"/>
          </w:rPr>
          <w:t>https://www.healthypeople.gov/2020/data-search/Search-the-Data#to</w:t>
        </w:r>
        <w:r>
          <w:rPr>
            <w:color w:val="5F5F5F"/>
            <w:u w:val="single" w:color="5F5F5F"/>
          </w:rPr>
          <w:t>pic</w:t>
        </w:r>
      </w:hyperlink>
      <w:hyperlink r:id="rId10" w:anchor="topic-area=3497">
        <w:r>
          <w:rPr>
            <w:color w:val="5F5F5F"/>
            <w:u w:val="single" w:color="5F5F5F"/>
          </w:rPr>
          <w:t>area=3497</w:t>
        </w:r>
      </w:hyperlink>
      <w:hyperlink r:id="rId11" w:anchor="topic-area=3497">
        <w:r>
          <w:rPr>
            <w:color w:val="00000A"/>
          </w:rPr>
          <w:t>;</w:t>
        </w:r>
      </w:hyperlink>
    </w:p>
    <w:p w14:paraId="25E8789E" w14:textId="77777777" w:rsidR="00E16A7A" w:rsidRDefault="00D87926">
      <w:pPr>
        <w:spacing w:after="276" w:line="226" w:lineRule="auto"/>
        <w:ind w:left="705" w:hanging="720"/>
      </w:pPr>
      <w:r>
        <w:rPr>
          <w:color w:val="00000A"/>
        </w:rPr>
        <w:t>Office of Disease Prevention and Hea</w:t>
      </w:r>
      <w:r>
        <w:rPr>
          <w:color w:val="00000A"/>
        </w:rPr>
        <w:t>lth Promotion. (2020).  Sexually Transmitted Diseases. Retrieved from</w:t>
      </w:r>
      <w:hyperlink r:id="rId12">
        <w:r>
          <w:rPr>
            <w:color w:val="00000A"/>
          </w:rPr>
          <w:t xml:space="preserve"> </w:t>
        </w:r>
      </w:hyperlink>
      <w:hyperlink r:id="rId13">
        <w:r>
          <w:rPr>
            <w:color w:val="00000A"/>
            <w:u w:val="single" w:color="00000A"/>
          </w:rPr>
          <w:t>https://www.healthypeople.gov/2020/topics-objectives/topic/sexually</w:t>
        </w:r>
      </w:hyperlink>
      <w:hyperlink r:id="rId14">
        <w:r>
          <w:rPr>
            <w:color w:val="00000A"/>
            <w:u w:val="single" w:color="00000A"/>
          </w:rPr>
          <w:t>transmitted-diseases</w:t>
        </w:r>
      </w:hyperlink>
    </w:p>
    <w:p w14:paraId="62681904" w14:textId="77777777" w:rsidR="00E16A7A" w:rsidRDefault="00D87926">
      <w:pPr>
        <w:spacing w:line="226" w:lineRule="auto"/>
        <w:ind w:left="705" w:right="251" w:hanging="720"/>
      </w:pPr>
      <w:r>
        <w:rPr>
          <w:color w:val="00000A"/>
        </w:rPr>
        <w:t>Office of Disease Prevention a</w:t>
      </w:r>
      <w:r>
        <w:rPr>
          <w:color w:val="00000A"/>
        </w:rPr>
        <w:t>nd Health Promotion. (2020).  Substance Abuse. Retrieved from</w:t>
      </w:r>
      <w:hyperlink r:id="rId15">
        <w:r>
          <w:rPr>
            <w:color w:val="00000A"/>
          </w:rPr>
          <w:t xml:space="preserve"> </w:t>
        </w:r>
      </w:hyperlink>
      <w:hyperlink r:id="rId16">
        <w:r>
          <w:rPr>
            <w:color w:val="5F5F5F"/>
            <w:u w:val="single" w:color="5F5F5F"/>
          </w:rPr>
          <w:t>https:</w:t>
        </w:r>
        <w:r>
          <w:rPr>
            <w:color w:val="5F5F5F"/>
            <w:u w:val="single" w:color="5F5F5F"/>
          </w:rPr>
          <w:t>//www.healthypeople.gov/2020/topics-objectives/topic/substance-abuse</w:t>
        </w:r>
      </w:hyperlink>
    </w:p>
    <w:sectPr w:rsidR="00E16A7A">
      <w:headerReference w:type="even" r:id="rId17"/>
      <w:headerReference w:type="default" r:id="rId18"/>
      <w:headerReference w:type="first" r:id="rId19"/>
      <w:pgSz w:w="12240" w:h="15840"/>
      <w:pgMar w:top="730" w:right="1442" w:bottom="1980" w:left="144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9D234" w14:textId="77777777" w:rsidR="00000000" w:rsidRDefault="00D87926">
      <w:pPr>
        <w:spacing w:after="0" w:line="240" w:lineRule="auto"/>
      </w:pPr>
      <w:r>
        <w:separator/>
      </w:r>
    </w:p>
  </w:endnote>
  <w:endnote w:type="continuationSeparator" w:id="0">
    <w:p w14:paraId="23DF33BE" w14:textId="77777777" w:rsidR="00000000" w:rsidRDefault="00D87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FFB3F" w14:textId="77777777" w:rsidR="00000000" w:rsidRDefault="00D87926">
      <w:pPr>
        <w:spacing w:after="0" w:line="240" w:lineRule="auto"/>
      </w:pPr>
      <w:r>
        <w:separator/>
      </w:r>
    </w:p>
  </w:footnote>
  <w:footnote w:type="continuationSeparator" w:id="0">
    <w:p w14:paraId="1B8C5FAA" w14:textId="77777777" w:rsidR="00000000" w:rsidRDefault="00D87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8A5CF" w14:textId="77777777" w:rsidR="00E16A7A" w:rsidRDefault="00D87926">
    <w:pPr>
      <w:tabs>
        <w:tab w:val="center" w:pos="2220"/>
      </w:tabs>
      <w:spacing w:after="0" w:line="259" w:lineRule="auto"/>
      <w:ind w:left="0" w:firstLine="0"/>
    </w:pPr>
    <w:r>
      <w:rPr>
        <w:color w:val="000000"/>
      </w:rPr>
      <w:t>TASK 1 C228 V3</w:t>
    </w:r>
    <w:r>
      <w:rPr>
        <w:color w:val="000000"/>
      </w:rPr>
      <w:tab/>
    </w:r>
    <w:r>
      <w:fldChar w:fldCharType="begin"/>
    </w:r>
    <w:r>
      <w:instrText xml:space="preserve"> PAGE   \* MERGEFORMAT </w:instrText>
    </w:r>
    <w:r>
      <w:fldChar w:fldCharType="separate"/>
    </w:r>
    <w:r>
      <w:rPr>
        <w:color w:val="000000"/>
      </w:rPr>
      <w:t>2</w: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59169" w14:textId="655BA0D4" w:rsidR="00E16A7A" w:rsidRDefault="00D87926">
    <w:pPr>
      <w:tabs>
        <w:tab w:val="center" w:pos="2220"/>
      </w:tabs>
      <w:spacing w:after="0" w:line="259" w:lineRule="auto"/>
      <w:ind w:left="0" w:firstLine="0"/>
    </w:pPr>
    <w:r>
      <w:rPr>
        <w:color w:val="000000"/>
      </w:rPr>
      <w:t xml:space="preserve">TASK 1 C228 </w:t>
    </w:r>
    <w:r>
      <w:rPr>
        <w:color w:val="000000"/>
      </w:rPr>
      <w:tab/>
    </w:r>
    <w:r>
      <w:fldChar w:fldCharType="begin"/>
    </w:r>
    <w:r>
      <w:instrText xml:space="preserve"> PAGE   \* MERGEFORMAT </w:instrText>
    </w:r>
    <w:r>
      <w:fldChar w:fldCharType="separate"/>
    </w:r>
    <w:r>
      <w:rPr>
        <w:color w:val="000000"/>
      </w:rPr>
      <w:t>2</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A75E" w14:textId="77777777" w:rsidR="00E16A7A" w:rsidRDefault="00E16A7A">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A7A"/>
    <w:rsid w:val="00852F6E"/>
    <w:rsid w:val="008A0E30"/>
    <w:rsid w:val="00D87926"/>
    <w:rsid w:val="00E16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0531E"/>
  <w15:docId w15:val="{6FFFA600-0FFF-4743-A6A9-D984A8AA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452" w:lineRule="auto"/>
      <w:ind w:left="3912" w:hanging="10"/>
    </w:pPr>
    <w:rPr>
      <w:rFonts w:ascii="Calibri" w:eastAsia="Calibri" w:hAnsi="Calibri" w:cs="Calibri"/>
      <w:color w:val="333333"/>
      <w:sz w:val="24"/>
    </w:rPr>
  </w:style>
  <w:style w:type="paragraph" w:styleId="Heading1">
    <w:name w:val="heading 1"/>
    <w:next w:val="Normal"/>
    <w:link w:val="Heading1Char"/>
    <w:uiPriority w:val="9"/>
    <w:qFormat/>
    <w:pPr>
      <w:keepNext/>
      <w:keepLines/>
      <w:spacing w:after="236"/>
      <w:ind w:left="10" w:hanging="10"/>
      <w:outlineLvl w:val="0"/>
    </w:pPr>
    <w:rPr>
      <w:rFonts w:ascii="Calibri" w:eastAsia="Calibri" w:hAnsi="Calibri" w:cs="Calibri"/>
      <w:b/>
      <w:color w:val="333333"/>
      <w:sz w:val="24"/>
      <w:u w:val="single" w:color="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33333"/>
      <w:sz w:val="24"/>
      <w:u w:val="single" w:color="333333"/>
    </w:rPr>
  </w:style>
  <w:style w:type="paragraph" w:styleId="Footer">
    <w:name w:val="footer"/>
    <w:basedOn w:val="Normal"/>
    <w:link w:val="FooterChar"/>
    <w:uiPriority w:val="99"/>
    <w:unhideWhenUsed/>
    <w:rsid w:val="00852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F6E"/>
    <w:rPr>
      <w:rFonts w:ascii="Calibri" w:eastAsia="Calibri" w:hAnsi="Calibri" w:cs="Calibri"/>
      <w:color w:val="33333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healthypeople.gov/2020/topics-objectives/topic/immunization-and-infectious-diseases" TargetMode="External"/><Relationship Id="rId13" Type="http://schemas.openxmlformats.org/officeDocument/2006/relationships/hyperlink" Target="https://www.healthypeople.gov/2020/topics-objectives/topic/sexually-transmitted-diseases"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healthypeople.gov/2020/topics-objectives/topic/immunization-and-infectious-diseases" TargetMode="External"/><Relationship Id="rId12" Type="http://schemas.openxmlformats.org/officeDocument/2006/relationships/hyperlink" Target="https://www.healthypeople.gov/2020/topics-objectives/topic/sexually-transmitted-diseases"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healthypeople.gov/2020/topics-objectives/topic/substance-abuse"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gu.ucertify.com/?func=ebook&amp;chapter_no=7" TargetMode="External"/><Relationship Id="rId11" Type="http://schemas.openxmlformats.org/officeDocument/2006/relationships/hyperlink" Target="https://www.healthypeople.gov/2020/data-search/Search-the-Data" TargetMode="External"/><Relationship Id="rId5" Type="http://schemas.openxmlformats.org/officeDocument/2006/relationships/endnotes" Target="endnotes.xml"/><Relationship Id="rId15" Type="http://schemas.openxmlformats.org/officeDocument/2006/relationships/hyperlink" Target="https://www.healthypeople.gov/2020/topics-objectives/topic/substance-abuse" TargetMode="External"/><Relationship Id="rId10" Type="http://schemas.openxmlformats.org/officeDocument/2006/relationships/hyperlink" Target="https://www.healthypeople.gov/2020/data-search/Search-the-Data"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healthypeople.gov/2020/data-search/Search-the-Data" TargetMode="External"/><Relationship Id="rId14" Type="http://schemas.openxmlformats.org/officeDocument/2006/relationships/hyperlink" Target="https://www.healthypeople.gov/2020/topics-objectives/topic/sexually-transmitted-dise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13</Pages>
  <Words>3455</Words>
  <Characters>19696</Characters>
  <Application>Microsoft Office Word</Application>
  <DocSecurity>0</DocSecurity>
  <Lines>164</Lines>
  <Paragraphs>46</Paragraphs>
  <ScaleCrop>false</ScaleCrop>
  <Company/>
  <LinksUpToDate>false</LinksUpToDate>
  <CharactersWithSpaces>23105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Hicks</dc:creator>
  <cp:keywords/>
  <cp:lastModifiedBy>Patrick Idely</cp:lastModifiedBy>
  <cp:revision>4</cp:revision>
  <dcterms:created xsi:type="dcterms:W3CDTF">2021-06-19T14:59:00Z</dcterms:created>
  <dcterms:modified xsi:type="dcterms:W3CDTF">2021-06-19T15:23:00Z</dcterms:modified>
</cp:coreProperties>
</file>